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D335E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324D09"/>
    <w:p w:rsidR="00324D09" w:rsidRDefault="000B1843" w:rsidP="00324D09">
      <w:pPr>
        <w:jc w:val="center"/>
        <w:rPr>
          <w:rFonts w:ascii="Perpetua Titling MT" w:hAnsi="Perpetua Titling MT"/>
          <w:b/>
          <w:sz w:val="36"/>
          <w:szCs w:val="36"/>
        </w:rPr>
      </w:pPr>
      <w:r>
        <w:rPr>
          <w:rFonts w:ascii="Perpetua Titling MT" w:hAnsi="Perpetua Titling MT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4pt;margin-top:56.25pt;width:96pt;height:45pt;z-index:251658240">
            <v:textbox>
              <w:txbxContent>
                <w:p w:rsidR="00324D09" w:rsidRPr="00324D09" w:rsidRDefault="00324D09" w:rsidP="00324D09">
                  <w:pPr>
                    <w:jc w:val="center"/>
                    <w:rPr>
                      <w:rFonts w:ascii="Perpetua Titling MT" w:hAnsi="Perpetua Titling MT"/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Perpetua Titling MT" w:hAnsi="Perpetua Titling MT"/>
                      <w:b/>
                      <w:sz w:val="48"/>
                      <w:szCs w:val="48"/>
                    </w:rPr>
                    <w:t>and</w:t>
                  </w:r>
                  <w:proofErr w:type="gramEnd"/>
                </w:p>
              </w:txbxContent>
            </v:textbox>
          </v:shape>
        </w:pict>
      </w:r>
      <w:r w:rsidR="00324D09" w:rsidRPr="00324D09">
        <w:rPr>
          <w:rFonts w:ascii="Perpetua Titling MT" w:hAnsi="Perpetua Titling MT"/>
          <w:b/>
          <w:sz w:val="36"/>
          <w:szCs w:val="36"/>
        </w:rPr>
        <w:t xml:space="preserve">Compound Inequalities containing </w:t>
      </w:r>
    </w:p>
    <w:p w:rsidR="00324D09" w:rsidRDefault="00324D09" w:rsidP="00324D09">
      <w:pPr>
        <w:jc w:val="center"/>
        <w:rPr>
          <w:rFonts w:ascii="Perpetua Titling MT" w:hAnsi="Perpetua Titling MT"/>
          <w:b/>
          <w:sz w:val="36"/>
          <w:szCs w:val="36"/>
        </w:rPr>
      </w:pPr>
    </w:p>
    <w:p w:rsidR="00324D09" w:rsidRPr="008D047D" w:rsidRDefault="00324D09" w:rsidP="008D047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D047D">
        <w:rPr>
          <w:sz w:val="36"/>
          <w:szCs w:val="36"/>
        </w:rPr>
        <w:t>Shade the intersection.</w:t>
      </w:r>
    </w:p>
    <w:p w:rsidR="00324D09" w:rsidRDefault="00324D09" w:rsidP="00324D09">
      <w:pPr>
        <w:pStyle w:val="ListParagraph"/>
        <w:rPr>
          <w:rFonts w:eastAsiaTheme="minorEastAsia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3≤x&lt;7</m:t>
        </m:r>
      </m:oMath>
      <w:r>
        <w:rPr>
          <w:rFonts w:eastAsiaTheme="minorEastAsia"/>
          <w:sz w:val="36"/>
          <w:szCs w:val="36"/>
        </w:rPr>
        <w:t xml:space="preserve"> </w:t>
      </w:r>
      <w:proofErr w:type="gramStart"/>
      <w:r>
        <w:rPr>
          <w:rFonts w:eastAsiaTheme="minorEastAsia"/>
          <w:sz w:val="36"/>
          <w:szCs w:val="36"/>
        </w:rPr>
        <w:t>means</w:t>
      </w:r>
      <w:proofErr w:type="gramEnd"/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3≤x</m:t>
        </m:r>
      </m:oMath>
      <w:r>
        <w:rPr>
          <w:rFonts w:eastAsiaTheme="minorEastAsia"/>
          <w:sz w:val="36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36"/>
            <w:szCs w:val="36"/>
          </w:rPr>
          <m:t>x&lt;7</m:t>
        </m:r>
      </m:oMath>
    </w:p>
    <w:tbl>
      <w:tblPr>
        <w:tblStyle w:val="TableGrid"/>
        <w:tblW w:w="0" w:type="auto"/>
        <w:tblInd w:w="720" w:type="dxa"/>
        <w:tblLook w:val="04A0"/>
      </w:tblPr>
      <w:tblGrid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</w:tblGrid>
      <w:tr w:rsidR="00324D09" w:rsidTr="00324D09"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324D09" w:rsidTr="00324D09">
        <w:tc>
          <w:tcPr>
            <w:tcW w:w="633" w:type="dxa"/>
            <w:tcBorders>
              <w:left w:val="nil"/>
              <w:bottom w:val="nil"/>
            </w:tcBorders>
          </w:tcPr>
          <w:p w:rsidR="00324D09" w:rsidRDefault="000B1843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12pt;margin-top:-.5pt;width:7.5pt;height:.75pt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3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324D09" w:rsidRDefault="00324D09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324D09" w:rsidRDefault="000B1843" w:rsidP="00324D0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2" type="#_x0000_t32" style="position:absolute;left:0;text-align:left;margin-left:20.3pt;margin-top:-.5pt;width:9.7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324D09" w:rsidRDefault="008D047D" w:rsidP="008D04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</w:t>
      </w:r>
    </w:p>
    <w:p w:rsidR="008D047D" w:rsidRDefault="000B1843" w:rsidP="008D047D">
      <w:pPr>
        <w:jc w:val="center"/>
        <w:rPr>
          <w:rFonts w:ascii="Perpetua Titling MT" w:hAnsi="Perpetua Titling MT"/>
          <w:b/>
          <w:sz w:val="36"/>
          <w:szCs w:val="36"/>
        </w:rPr>
      </w:pPr>
      <w:r>
        <w:rPr>
          <w:rFonts w:ascii="Perpetua Titling MT" w:hAnsi="Perpetua Titling MT"/>
          <w:b/>
          <w:noProof/>
          <w:sz w:val="36"/>
          <w:szCs w:val="36"/>
        </w:rPr>
        <w:pict>
          <v:shape id="_x0000_s1035" type="#_x0000_t202" style="position:absolute;left:0;text-align:left;margin-left:126pt;margin-top:56.25pt;width:65.25pt;height:35.25pt;z-index:251665408">
            <v:textbox>
              <w:txbxContent>
                <w:p w:rsidR="008D047D" w:rsidRPr="00324D09" w:rsidRDefault="008D047D" w:rsidP="008D047D">
                  <w:pPr>
                    <w:jc w:val="center"/>
                    <w:rPr>
                      <w:rFonts w:ascii="Perpetua Titling MT" w:hAnsi="Perpetua Titling MT"/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Perpetua Titling MT" w:hAnsi="Perpetua Titling MT"/>
                      <w:b/>
                      <w:sz w:val="48"/>
                      <w:szCs w:val="48"/>
                    </w:rPr>
                    <w:t>or</w:t>
                  </w:r>
                  <w:proofErr w:type="gramEnd"/>
                </w:p>
              </w:txbxContent>
            </v:textbox>
          </v:shape>
        </w:pict>
      </w:r>
      <w:r w:rsidR="008D047D" w:rsidRPr="00324D09">
        <w:rPr>
          <w:rFonts w:ascii="Perpetua Titling MT" w:hAnsi="Perpetua Titling MT"/>
          <w:b/>
          <w:sz w:val="36"/>
          <w:szCs w:val="36"/>
        </w:rPr>
        <w:t xml:space="preserve">Compound Inequalities containing </w:t>
      </w:r>
    </w:p>
    <w:p w:rsidR="008D047D" w:rsidRDefault="008D047D" w:rsidP="008D047D">
      <w:pPr>
        <w:jc w:val="center"/>
        <w:rPr>
          <w:rFonts w:ascii="Perpetua Titling MT" w:hAnsi="Perpetua Titling MT"/>
          <w:b/>
          <w:sz w:val="36"/>
          <w:szCs w:val="36"/>
        </w:rPr>
      </w:pPr>
    </w:p>
    <w:p w:rsidR="008D047D" w:rsidRDefault="008D047D" w:rsidP="008D047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Shade the union.</w:t>
      </w:r>
    </w:p>
    <w:p w:rsidR="008D047D" w:rsidRPr="008D047D" w:rsidRDefault="008D047D" w:rsidP="008D047D">
      <w:pPr>
        <w:pStyle w:val="ListParagraph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x&gt;2 or x≤-1</m:t>
          </m:r>
        </m:oMath>
      </m:oMathPara>
    </w:p>
    <w:p w:rsidR="008D047D" w:rsidRDefault="008D047D" w:rsidP="00324D09">
      <w:pPr>
        <w:pStyle w:val="ListParagraph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</w:tblGrid>
      <w:tr w:rsidR="008D047D" w:rsidTr="008F6B48"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8D047D" w:rsidTr="008F6B48">
        <w:tc>
          <w:tcPr>
            <w:tcW w:w="633" w:type="dxa"/>
            <w:tcBorders>
              <w:left w:val="nil"/>
              <w:bottom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3" type="#_x0000_t32" style="position:absolute;left:0;text-align:left;margin-left:-12pt;margin-top:-.5pt;width:7.5pt;height:.7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4" type="#_x0000_t32" style="position:absolute;left:0;text-align:left;margin-left:20.3pt;margin-top:-.5pt;width:9.7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D047D" w:rsidRDefault="008D047D" w:rsidP="008D047D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Example 1</w:t>
      </w:r>
    </w:p>
    <w:p w:rsidR="008D047D" w:rsidRDefault="008D047D" w:rsidP="008D047D">
      <w:pPr>
        <w:pStyle w:val="ListParagraph"/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-2≤x-3&lt;4</m:t>
          </m:r>
        </m:oMath>
      </m:oMathPara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</w:tblGrid>
      <w:tr w:rsidR="008D047D" w:rsidTr="008F6B48"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8D047D" w:rsidTr="008F6B48">
        <w:tc>
          <w:tcPr>
            <w:tcW w:w="633" w:type="dxa"/>
            <w:tcBorders>
              <w:left w:val="nil"/>
              <w:bottom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7" type="#_x0000_t32" style="position:absolute;left:0;text-align:left;margin-left:-12pt;margin-top:-.5pt;width:7.5pt;height:.75pt;flip:x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8" type="#_x0000_t32" style="position:absolute;left:0;text-align:left;margin-left:20.3pt;margin-top:-.5pt;width:9.75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Example 1</w:t>
      </w:r>
    </w:p>
    <w:p w:rsidR="008D047D" w:rsidRDefault="008D047D" w:rsidP="008D047D">
      <w:pPr>
        <w:pStyle w:val="ListParagraph"/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-2m+7≤13 or 5m+12&gt;37</m:t>
          </m:r>
        </m:oMath>
      </m:oMathPara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</w:tblGrid>
      <w:tr w:rsidR="008D047D" w:rsidTr="008F6B48"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8D047D" w:rsidTr="008F6B48">
        <w:tc>
          <w:tcPr>
            <w:tcW w:w="633" w:type="dxa"/>
            <w:tcBorders>
              <w:left w:val="nil"/>
              <w:bottom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9" type="#_x0000_t32" style="position:absolute;left:0;text-align:left;margin-left:-12pt;margin-top:-.5pt;width:7.5pt;height:.75pt;flip:x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D047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0" type="#_x0000_t32" style="position:absolute;left:0;text-align:left;margin-left:20.3pt;margin-top:-.5pt;width:9.75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D047D" w:rsidRDefault="008D047D" w:rsidP="008D047D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Example 2</w:t>
      </w: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y-3≤11 and y-3≥8</m:t>
          </m:r>
        </m:oMath>
      </m:oMathPara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</w:tblGrid>
      <w:tr w:rsidR="008D047D" w:rsidTr="008F6B48"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8D047D" w:rsidTr="008F6B48">
        <w:tc>
          <w:tcPr>
            <w:tcW w:w="633" w:type="dxa"/>
            <w:tcBorders>
              <w:left w:val="nil"/>
              <w:bottom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1" type="#_x0000_t32" style="position:absolute;left:0;text-align:left;margin-left:-12pt;margin-top:-.5pt;width:7.5pt;height:.75pt;flip:x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8D047D" w:rsidRDefault="008D047D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8D047D" w:rsidRDefault="000B1843" w:rsidP="008F6B48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2" type="#_x0000_t32" style="position:absolute;left:0;text-align:left;margin-left:20.3pt;margin-top:-.5pt;width:9.75pt;height:0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D047D" w:rsidRDefault="008D047D" w:rsidP="008D047D">
      <w:pPr>
        <w:pStyle w:val="ListParagraph"/>
        <w:jc w:val="center"/>
        <w:rPr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Example 2</w:t>
      </w:r>
    </w:p>
    <w:p w:rsidR="00C74CCE" w:rsidRDefault="00C74CCE" w:rsidP="008D047D">
      <w:pPr>
        <w:pStyle w:val="ListParagraph"/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x≥9 or2+4x&lt;10</m:t>
          </m:r>
        </m:oMath>
      </m:oMathPara>
    </w:p>
    <w:p w:rsidR="00C74CCE" w:rsidRDefault="00C74CCE" w:rsidP="008D047D">
      <w:pPr>
        <w:pStyle w:val="ListParagraph"/>
        <w:jc w:val="center"/>
        <w:rPr>
          <w:rFonts w:eastAsiaTheme="minorEastAsia"/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rFonts w:eastAsiaTheme="minorEastAsia"/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rFonts w:eastAsiaTheme="minorEastAsia"/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rFonts w:eastAsiaTheme="minorEastAsia"/>
          <w:sz w:val="36"/>
          <w:szCs w:val="36"/>
        </w:rPr>
      </w:pPr>
    </w:p>
    <w:p w:rsidR="00C74CCE" w:rsidRDefault="00C74CCE" w:rsidP="008D047D">
      <w:pPr>
        <w:pStyle w:val="ListParagraph"/>
        <w:jc w:val="center"/>
        <w:rPr>
          <w:rFonts w:eastAsiaTheme="minorEastAsia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</w:tblGrid>
      <w:tr w:rsidR="00C74CCE" w:rsidTr="008D227E"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74CCE" w:rsidTr="008D227E">
        <w:tc>
          <w:tcPr>
            <w:tcW w:w="633" w:type="dxa"/>
            <w:tcBorders>
              <w:left w:val="nil"/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4" type="#_x0000_t32" style="position:absolute;left:0;text-align:left;margin-left:-12pt;margin-top:-.5pt;width:7.5pt;height:.75pt;flip:x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3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C74CCE" w:rsidRDefault="00C74CCE" w:rsidP="008D227E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5" type="#_x0000_t32" style="position:absolute;left:0;text-align:left;margin-left:20.3pt;margin-top:-.5pt;width:9.75pt;height:0;z-index:25167769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C74CCE" w:rsidRPr="00324D09" w:rsidRDefault="00C74CCE" w:rsidP="00C74CCE">
      <w:pPr>
        <w:pStyle w:val="ListParagraph"/>
        <w:rPr>
          <w:sz w:val="36"/>
          <w:szCs w:val="36"/>
        </w:rPr>
      </w:pPr>
    </w:p>
    <w:sectPr w:rsidR="00C74CCE" w:rsidRPr="00324D09" w:rsidSect="00324D0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6DF"/>
    <w:multiLevelType w:val="hybridMultilevel"/>
    <w:tmpl w:val="FA844974"/>
    <w:lvl w:ilvl="0" w:tplc="59FA4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0E2F"/>
    <w:multiLevelType w:val="hybridMultilevel"/>
    <w:tmpl w:val="B47209DC"/>
    <w:lvl w:ilvl="0" w:tplc="F844F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181B"/>
    <w:multiLevelType w:val="hybridMultilevel"/>
    <w:tmpl w:val="7E68C76A"/>
    <w:lvl w:ilvl="0" w:tplc="90742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4D09"/>
    <w:rsid w:val="000B1843"/>
    <w:rsid w:val="001735B4"/>
    <w:rsid w:val="00324D09"/>
    <w:rsid w:val="00670990"/>
    <w:rsid w:val="00865A59"/>
    <w:rsid w:val="008D047D"/>
    <w:rsid w:val="00C74CCE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2"/>
        <o:r id="V:Rule12" type="connector" idref="#_x0000_s1032"/>
        <o:r id="V:Rule13" type="connector" idref="#_x0000_s1033"/>
        <o:r id="V:Rule14" type="connector" idref="#_x0000_s1037"/>
        <o:r id="V:Rule15" type="connector" idref="#_x0000_s1034"/>
        <o:r id="V:Rule16" type="connector" idref="#_x0000_s1041"/>
        <o:r id="V:Rule17" type="connector" idref="#_x0000_s1031"/>
        <o:r id="V:Rule18" type="connector" idref="#_x0000_s1040"/>
        <o:r id="V:Rule19" type="connector" idref="#_x0000_s1038"/>
        <o:r id="V:Rule20" type="connector" idref="#_x0000_s1039"/>
        <o:r id="V:Rule21" type="connector" idref="#_x0000_s1045"/>
        <o:r id="V:Rule2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D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D09"/>
    <w:rPr>
      <w:color w:val="808080"/>
    </w:rPr>
  </w:style>
  <w:style w:type="table" w:styleId="TableGrid">
    <w:name w:val="Table Grid"/>
    <w:basedOn w:val="TableNormal"/>
    <w:uiPriority w:val="59"/>
    <w:rsid w:val="0032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26B9-A599-48FD-8626-FF70F22B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2017-11-13T19:56:00Z</dcterms:created>
  <dcterms:modified xsi:type="dcterms:W3CDTF">2017-11-29T23:33:00Z</dcterms:modified>
</cp:coreProperties>
</file>